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Update “Article VI: Membership”, Section B:</w:t>
      </w:r>
    </w:p>
    <w:p w:rsidR="00000000" w:rsidDel="00000000" w:rsidP="00000000" w:rsidRDefault="00000000" w:rsidRPr="00000000" w14:paraId="00000002">
      <w:pPr>
        <w:rPr>
          <w:b w:val="1"/>
        </w:rPr>
      </w:pPr>
      <w:r w:rsidDel="00000000" w:rsidR="00000000" w:rsidRPr="00000000">
        <w:rPr>
          <w:rtl w:val="0"/>
        </w:rPr>
        <w:t xml:space="preserve">B. Any person who qualifies under Section A of this Article is a voting member immediately after signing the member attendance roster at any regular of special Council meeting. The member attendance roster shall be used only for Council business. </w:t>
      </w:r>
      <w:r w:rsidDel="00000000" w:rsidR="00000000" w:rsidRPr="00000000">
        <w:rPr>
          <w:b w:val="1"/>
          <w:rtl w:val="0"/>
        </w:rPr>
        <w:t xml:space="preserve">For voting on Resolutions and Council Officers, the member must have at least attended the prior monthly meeting before the meeting in which the vote on the Resolutions or Council Officer election takes place.</w:t>
      </w:r>
    </w:p>
    <w:p w:rsidR="00000000" w:rsidDel="00000000" w:rsidP="00000000" w:rsidRDefault="00000000" w:rsidRPr="00000000" w14:paraId="00000003">
      <w:pPr>
        <w:rPr/>
      </w:pPr>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rtl w:val="0"/>
        </w:rPr>
        <w:t xml:space="preserve">Update “Article VII: Meetings”, Section F, Subsection 1:</w:t>
      </w:r>
    </w:p>
    <w:p w:rsidR="00000000" w:rsidDel="00000000" w:rsidP="00000000" w:rsidRDefault="00000000" w:rsidRPr="00000000" w14:paraId="00000005">
      <w:pPr>
        <w:rPr/>
      </w:pPr>
      <w:r w:rsidDel="00000000" w:rsidR="00000000" w:rsidRPr="00000000">
        <w:rPr>
          <w:rtl w:val="0"/>
        </w:rPr>
        <w:t xml:space="preserve">1.</w:t>
      </w:r>
      <w:r w:rsidDel="00000000" w:rsidR="00000000" w:rsidRPr="00000000">
        <w:rPr>
          <w:strike w:val="1"/>
          <w:rtl w:val="0"/>
        </w:rPr>
        <w:t xml:space="preserve"> Whenever possible, </w:t>
      </w:r>
      <w:r w:rsidDel="00000000" w:rsidR="00000000" w:rsidRPr="00000000">
        <w:rPr>
          <w:rtl w:val="0"/>
        </w:rPr>
        <w:t xml:space="preserve">[T]he draft agenda shall be posted online and emailed to those who have signed up for the Council’s distribution list at least seven days in advance of the meeting. Notices may also be placed in such public locations as schools, libraries, and shopping centers. The draft agenda may be submitted to the Federation of Community Councils, or current municipal contractor, for electronic distribution.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